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CB60" w14:textId="77777777" w:rsidR="00893FB5" w:rsidRPr="00893FB5" w:rsidRDefault="00893FB5" w:rsidP="00893FB5">
      <w:pPr>
        <w:pStyle w:val="Header"/>
        <w:rPr>
          <w:rFonts w:ascii="Times New Roman" w:hAnsi="Times New Roman" w:cs="Times New Roman"/>
          <w:sz w:val="4"/>
        </w:rPr>
      </w:pPr>
    </w:p>
    <w:p w14:paraId="0EB4EB15" w14:textId="6743FD1D" w:rsidR="00893FB5" w:rsidRPr="0074397A" w:rsidRDefault="00893FB5"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Pr="0074397A">
        <w:rPr>
          <w:rFonts w:ascii="Times New Roman" w:hAnsi="Times New Roman" w:cs="Times New Roman"/>
          <w:sz w:val="18"/>
        </w:rPr>
        <w:t>Revised: dd/mm/yyyy</w:t>
      </w:r>
      <w:r>
        <w:rPr>
          <w:rFonts w:ascii="Times New Roman" w:hAnsi="Times New Roman" w:cs="Times New Roman"/>
          <w:sz w:val="18"/>
        </w:rPr>
        <w:t xml:space="preserve"> Accepted: dd/mm/yyyy </w:t>
      </w:r>
      <w:r w:rsidRPr="0074397A">
        <w:rPr>
          <w:rFonts w:ascii="Times New Roman" w:hAnsi="Times New Roman" w:cs="Times New Roman"/>
          <w:sz w:val="18"/>
        </w:rPr>
        <w:t>Published: dd/mm/yyyy</w:t>
      </w:r>
    </w:p>
    <w:p w14:paraId="4DAB49DD"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lang w:val="en-IN" w:eastAsia="en-IN"/>
          <w14:ligatures w14:val="none"/>
        </w:rPr>
        <mc:AlternateContent>
          <mc:Choice Requires="wps">
            <w:drawing>
              <wp:anchor distT="0" distB="0" distL="114300" distR="114300" simplePos="0" relativeHeight="251665408" behindDoc="0" locked="0" layoutInCell="1" allowOverlap="1" wp14:anchorId="2F2CD0CC" wp14:editId="6552E505">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1476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3F3D76D5" w14:textId="77777777" w:rsidR="00893FB5" w:rsidRDefault="00893FB5" w:rsidP="00D50497">
      <w:pPr>
        <w:spacing w:after="0" w:line="240" w:lineRule="auto"/>
        <w:rPr>
          <w:rFonts w:ascii="Times New Roman" w:hAnsi="Times New Roman" w:cs="Times New Roman"/>
          <w:i/>
          <w:iCs/>
          <w:sz w:val="20"/>
          <w:szCs w:val="20"/>
        </w:rPr>
      </w:pPr>
    </w:p>
    <w:p w14:paraId="34049129" w14:textId="77777777" w:rsidR="006F4371" w:rsidRPr="006F4371" w:rsidRDefault="006F4371"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lang w:val="en-IN" w:eastAsia="en-IN"/>
          <w14:ligatures w14:val="none"/>
        </w:rPr>
        <mc:AlternateContent>
          <mc:Choice Requires="wps">
            <w:drawing>
              <wp:anchor distT="0" distB="0" distL="114300" distR="114300" simplePos="0" relativeHeight="251660288" behindDoc="0" locked="0" layoutInCell="1" allowOverlap="1" wp14:anchorId="3828D286" wp14:editId="11213321">
                <wp:simplePos x="0" y="0"/>
                <wp:positionH relativeFrom="column">
                  <wp:posOffset>-8338</wp:posOffset>
                </wp:positionH>
                <wp:positionV relativeFrom="paragraph">
                  <wp:posOffset>-24903</wp:posOffset>
                </wp:positionV>
                <wp:extent cx="2814320" cy="302149"/>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2814320" cy="302149"/>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97C609E"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73934CDC"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28D286" id="Rounded Rectangle 3" o:spid="_x0000_s1026" style="position:absolute;margin-left:-.65pt;margin-top:-1.95pt;width:221.6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" fillcolor="white [3201]" strokecolor="#002060" strokeweight="1pt">
                <v:textbox>
                  <w:txbxContent>
                    <w:p w14:paraId="397C609E"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73934CDC"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2E41AC2F" w14:textId="77777777" w:rsidR="006F4371" w:rsidRPr="006F4371" w:rsidRDefault="006F4371" w:rsidP="00D50497">
      <w:pPr>
        <w:spacing w:after="0" w:line="240" w:lineRule="auto"/>
        <w:rPr>
          <w:rFonts w:ascii="Times New Roman" w:hAnsi="Times New Roman" w:cs="Times New Roman"/>
          <w:i/>
          <w:iCs/>
          <w:sz w:val="20"/>
          <w:szCs w:val="20"/>
        </w:rPr>
      </w:pPr>
    </w:p>
    <w:p w14:paraId="28775C32"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lang w:val="en-IN" w:eastAsia="en-IN"/>
          <w14:ligatures w14:val="none"/>
        </w:rPr>
        <mc:AlternateContent>
          <mc:Choice Requires="wps">
            <w:drawing>
              <wp:anchor distT="0" distB="0" distL="114300" distR="114300" simplePos="0" relativeHeight="251661312" behindDoc="0" locked="0" layoutInCell="1" allowOverlap="1" wp14:anchorId="41B3214D" wp14:editId="1011562D">
                <wp:simplePos x="0" y="0"/>
                <wp:positionH relativeFrom="column">
                  <wp:posOffset>-7648</wp:posOffset>
                </wp:positionH>
                <wp:positionV relativeFrom="paragraph">
                  <wp:posOffset>26422</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31D78C"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HSSMS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1326C9A3"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214D" id="Rectangle 4" o:spid="_x0000_s1027" style="position:absolute;left:0;text-align:left;margin-left:-.6pt;margin-top:2.1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" fillcolor="white [3201]" stroked="f" strokeweight="2pt">
                <v:textbox>
                  <w:txbxContent>
                    <w:p w14:paraId="0031D78C"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HSSMS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1326C9A3" w14:textId="77777777" w:rsidR="00661C0F" w:rsidRDefault="00661C0F" w:rsidP="00661C0F">
                      <w:pPr>
                        <w:jc w:val="center"/>
                      </w:pPr>
                    </w:p>
                  </w:txbxContent>
                </v:textbox>
              </v:rect>
            </w:pict>
          </mc:Fallback>
        </mc:AlternateContent>
      </w:r>
    </w:p>
    <w:p w14:paraId="0618AAD5"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B5E577C"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6D4F3365"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273939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6F0EE79"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3F99F2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6A5A8289"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2D4EC1E6"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41715F42"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3560447D"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49303D43" w14:textId="56B68722"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5AAB029D"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Pincode (Size 9)</w:t>
      </w:r>
    </w:p>
    <w:p w14:paraId="6D90219E"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4D668968" w14:textId="77777777" w:rsidR="006F4371" w:rsidRPr="006F4371" w:rsidRDefault="00DE2F88" w:rsidP="00DE2F88">
      <w:pPr>
        <w:tabs>
          <w:tab w:val="left" w:pos="5735"/>
        </w:tabs>
        <w:spacing w:after="0" w:line="240" w:lineRule="auto"/>
        <w:rPr>
          <w:rFonts w:ascii="Times New Roman" w:hAnsi="Times New Roman" w:cs="Times New Roman"/>
          <w:sz w:val="20"/>
          <w:szCs w:val="18"/>
        </w:rPr>
      </w:pPr>
      <w:r>
        <w:rPr>
          <w:rFonts w:ascii="Times New Roman" w:hAnsi="Times New Roman" w:cs="Times New Roman"/>
          <w:sz w:val="20"/>
          <w:szCs w:val="18"/>
        </w:rPr>
        <w:tab/>
      </w:r>
    </w:p>
    <w:p w14:paraId="71B240E8"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5E70F439"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2E5616EF" w14:textId="77777777"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Component, formatting, style, styling, insert. (atleast 5 to 6 keywords should be mentioned)</w:t>
      </w:r>
    </w:p>
    <w:p w14:paraId="37BA9BB4"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0CF409CE"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0928ED45"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022323D9"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1922DCA7"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6977BB93"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3163DD21"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5F2715F3"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7981F8BF"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A309FB1"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066AF6C9"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508A3A4F"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61EBD8DD"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2FEB9344"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7B7D70A4"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165734B9"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2A8E5B79"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lang w:val="en-IN" w:eastAsia="en-IN"/>
        </w:rPr>
        <w:drawing>
          <wp:anchor distT="0" distB="0" distL="114300" distR="114300" simplePos="0" relativeHeight="251663360" behindDoc="0" locked="0" layoutInCell="1" allowOverlap="1" wp14:anchorId="0423AF9A" wp14:editId="681463B6">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808A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64FA98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927A43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0D3BBB5"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5D4CD8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FDE2F95"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9D411B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7B76D5F"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2EBA696"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562907F"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14E4754"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31350A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7093F00"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68C2CF45"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shortline in Alabama (Size 9, Bold)</w:t>
      </w:r>
    </w:p>
    <w:p w14:paraId="149675F7"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6B384DC9"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6A0CF5AD"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0E39F027"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lang w:val="en-IN" w:eastAsia="en-IN"/>
        </w:rPr>
        <w:drawing>
          <wp:inline distT="0" distB="0" distL="0" distR="0" wp14:anchorId="714222DE" wp14:editId="1140921E">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5FBEB6C6"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3276A305" w14:textId="77777777" w:rsidR="00221103" w:rsidRPr="007B0503" w:rsidRDefault="00221103" w:rsidP="00D50497">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0C58CF89"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461E70A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[For tables heading and contents are in 10 size. Heading should be in bold and the table should not in image format]</w:t>
      </w:r>
    </w:p>
    <w:p w14:paraId="18D4346C" w14:textId="77777777" w:rsidR="00221103" w:rsidRDefault="00221103" w:rsidP="00D50497">
      <w:pPr>
        <w:spacing w:after="0" w:line="240" w:lineRule="auto"/>
        <w:rPr>
          <w:rFonts w:ascii="Goudy Old Style" w:hAnsi="Goudy Old Style" w:cs="Times New Roman"/>
          <w:b/>
          <w:bCs/>
          <w:sz w:val="18"/>
          <w:szCs w:val="18"/>
        </w:rPr>
      </w:pPr>
    </w:p>
    <w:p w14:paraId="1FEBDBD8"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365DA152"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410294F1" w14:textId="77777777" w:rsidR="00221103" w:rsidRDefault="00221103" w:rsidP="00D50497">
      <w:pPr>
        <w:spacing w:after="0" w:line="240" w:lineRule="auto"/>
        <w:ind w:firstLine="284"/>
        <w:jc w:val="both"/>
        <w:rPr>
          <w:rFonts w:ascii="Times New Roman" w:hAnsi="Times New Roman" w:cs="Times New Roman"/>
          <w:b/>
          <w:color w:val="002060"/>
        </w:rPr>
      </w:pPr>
    </w:p>
    <w:p w14:paraId="1B18A656"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1BB20158"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16EA471E"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4B6FB94"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“Wb/m2 ” or “webers per square meter”, not “webers/m2”. Spell out units when they appear in text: “. . . a few henries”, not “. . . a few H”. Use a zero before decimal points: “0.25”, not “.25”. Use “cm3”, not “cc”. (bullet list)</w:t>
      </w:r>
    </w:p>
    <w:p w14:paraId="6ADE20A6" w14:textId="77777777" w:rsidR="009A47CA" w:rsidRDefault="009A47CA" w:rsidP="00D50497">
      <w:pPr>
        <w:pStyle w:val="ListParagraph"/>
        <w:spacing w:line="240" w:lineRule="auto"/>
        <w:ind w:left="0"/>
        <w:jc w:val="both"/>
        <w:rPr>
          <w:rFonts w:ascii="Times New Roman" w:hAnsi="Times New Roman" w:cs="Times New Roman"/>
        </w:rPr>
      </w:pPr>
    </w:p>
    <w:p w14:paraId="66976FDF"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5AABA9AF"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Baskerville Old Face or the Symbol font (please no other font). To create multileveled equations, it may be necessary to treat the equation as a graphic and insert it into the text after your paper is styled </w:t>
      </w:r>
      <w:r w:rsidRPr="00CD50FA">
        <w:rPr>
          <w:rFonts w:ascii="Times New Roman" w:hAnsi="Times New Roman" w:cs="Times New Roman"/>
          <w:sz w:val="20"/>
        </w:rPr>
        <w:lastRenderedPageBreak/>
        <w:t>number equations consecutively. Equation numbers, within parentheses, are to position flush right, as in Eq.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06997917"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48C72B04"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1BCA131E" w14:textId="77777777" w:rsidR="00AD7AF4" w:rsidRDefault="00AD7AF4" w:rsidP="00D50497">
      <w:pPr>
        <w:spacing w:after="0" w:line="240" w:lineRule="auto"/>
        <w:rPr>
          <w:rFonts w:ascii="Times New Roman" w:hAnsi="Times New Roman" w:cs="Times New Roman"/>
        </w:rPr>
      </w:pPr>
    </w:p>
    <w:p w14:paraId="324C377F"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30F9D58F" w14:textId="77777777" w:rsidR="00AD7AF4"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7B82A14B"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5D72ABFC"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133CD890"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204CC303"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3BE2147F"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6B390DC6"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1.5"          Right = 1.5"</w:t>
      </w:r>
    </w:p>
    <w:p w14:paraId="06D24345"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4B6B558E" w14:textId="77777777" w:rsidR="00D50497" w:rsidRPr="00CD50FA" w:rsidRDefault="00221103" w:rsidP="00D50497">
      <w:pPr>
        <w:spacing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Goudy Old Style. Type other font types may be used </w:t>
      </w:r>
      <w:r w:rsidR="00D50497" w:rsidRPr="00CD50FA">
        <w:rPr>
          <w:rFonts w:ascii="Times New Roman" w:hAnsi="Times New Roman" w:cs="Times New Roman"/>
          <w:sz w:val="20"/>
        </w:rPr>
        <w:t>if needed for special purposes.</w:t>
      </w:r>
    </w:p>
    <w:p w14:paraId="6FBDF7DC"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65DA9381"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0D599AF3" w14:textId="77777777" w:rsidR="00221103" w:rsidRPr="00221103" w:rsidRDefault="00221103" w:rsidP="00D50497">
      <w:pPr>
        <w:spacing w:after="0" w:line="240" w:lineRule="auto"/>
        <w:ind w:firstLine="284"/>
        <w:jc w:val="both"/>
        <w:rPr>
          <w:rFonts w:ascii="Times New Roman" w:hAnsi="Times New Roman" w:cs="Times New Roman"/>
        </w:rPr>
      </w:pPr>
      <w:r w:rsidRPr="00221103">
        <w:rPr>
          <w:rFonts w:ascii="Times New Roman" w:hAnsi="Times New Roman" w:cs="Times New Roman"/>
        </w:rPr>
        <w:t xml:space="preserve"> </w:t>
      </w:r>
    </w:p>
    <w:p w14:paraId="419A2303"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513DEF8C"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501BB64F"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522DD67B"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438A0819"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216571A3"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4BC549CA"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6AACA079" w14:textId="77777777" w:rsidR="006061C6" w:rsidRDefault="006061C6" w:rsidP="006061C6">
      <w:pPr>
        <w:spacing w:after="0" w:line="240" w:lineRule="auto"/>
        <w:ind w:firstLine="284"/>
        <w:rPr>
          <w:rFonts w:ascii="Times New Roman" w:hAnsi="Times New Roman" w:cs="Times New Roman"/>
        </w:rPr>
      </w:pPr>
    </w:p>
    <w:p w14:paraId="7B9536D8"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2665E419" w14:textId="77777777"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w:t>
      </w:r>
      <w:r w:rsidRPr="006061C6">
        <w:rPr>
          <w:rFonts w:ascii="Times New Roman" w:hAnsi="Times New Roman" w:cs="Times New Roman"/>
          <w:sz w:val="20"/>
        </w:rPr>
        <w:lastRenderedPageBreak/>
        <w:t xml:space="preserve">as “in press” [5]. Capitalize only the first word in a paper title, except for proper nouns and element symbols. For papers published in translation journals, please give the English citation first, followed by the original foreign language citation [6]. </w:t>
      </w:r>
    </w:p>
    <w:p w14:paraId="2DEC4EA7" w14:textId="77777777" w:rsidR="006061C6" w:rsidRDefault="006061C6" w:rsidP="006061C6">
      <w:pPr>
        <w:spacing w:after="0"/>
        <w:jc w:val="both"/>
        <w:rPr>
          <w:rFonts w:ascii="Times New Roman" w:hAnsi="Times New Roman" w:cs="Times New Roman"/>
          <w:sz w:val="20"/>
        </w:rPr>
      </w:pPr>
    </w:p>
    <w:p w14:paraId="5D921FA7"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D. Sarunyagate,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49D53258"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12F92A4C"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L. Bass, P. Clements, and R. Kazman, Software Architecture in Practice, 2nd ed. Reading, MA: Addison Wesley, 2003. [E-book] Available: Safari e-book.</w:t>
      </w:r>
      <w:r w:rsidRPr="00862A74">
        <w:rPr>
          <w:rFonts w:ascii="Times New Roman" w:hAnsi="Times New Roman" w:cs="Times New Roman"/>
          <w:b/>
          <w:sz w:val="18"/>
          <w:szCs w:val="18"/>
        </w:rPr>
        <w:t>(</w:t>
      </w:r>
      <w:r w:rsidRPr="00862A74">
        <w:rPr>
          <w:b/>
          <w:sz w:val="18"/>
          <w:szCs w:val="18"/>
        </w:rPr>
        <w:t xml:space="preserve"> </w:t>
      </w:r>
      <w:r w:rsidRPr="00862A74">
        <w:rPr>
          <w:rFonts w:ascii="Times New Roman" w:hAnsi="Times New Roman" w:cs="Times New Roman"/>
          <w:b/>
          <w:sz w:val="18"/>
          <w:szCs w:val="18"/>
        </w:rPr>
        <w:t xml:space="preserve">eBook Model) </w:t>
      </w:r>
    </w:p>
    <w:p w14:paraId="7BD84E4B"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shufflenets for optical communications," IEEE Trans. Comp., vol. 46, pp. 695-701, June 1997. </w:t>
      </w:r>
      <w:r w:rsidRPr="00862A74">
        <w:rPr>
          <w:rFonts w:ascii="Times New Roman" w:hAnsi="Times New Roman" w:cs="Times New Roman"/>
          <w:b/>
          <w:sz w:val="18"/>
          <w:szCs w:val="18"/>
        </w:rPr>
        <w:t>(Journal article)</w:t>
      </w:r>
    </w:p>
    <w:p w14:paraId="3440854A" w14:textId="77777777" w:rsidR="00862A74" w:rsidRPr="00C4250F"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H. Ayasso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9" w:history="1">
        <w:r w:rsidRPr="00C4250F">
          <w:rPr>
            <w:rStyle w:val="Hyperlink"/>
            <w:rFonts w:ascii="Times New Roman" w:hAnsi="Times New Roman" w:cs="Times New Roman"/>
            <w:sz w:val="18"/>
            <w:szCs w:val="18"/>
            <w:u w:val="none"/>
          </w:rPr>
          <w:t>http://www.ieee.org</w:t>
        </w:r>
      </w:hyperlink>
      <w:r w:rsidRPr="00C4250F">
        <w:rPr>
          <w:rFonts w:ascii="Times New Roman" w:hAnsi="Times New Roman" w:cs="Times New Roman"/>
          <w:sz w:val="18"/>
          <w:szCs w:val="18"/>
        </w:rPr>
        <w:t>. (eJournal (from database))</w:t>
      </w:r>
    </w:p>
    <w:p w14:paraId="2A462D0B" w14:textId="77777777" w:rsidR="00862A74" w:rsidRPr="00C4250F" w:rsidRDefault="0037287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250F">
          <w:rPr>
            <w:rStyle w:val="Hyperlink"/>
            <w:rFonts w:ascii="Times New Roman" w:hAnsi="Times New Roman" w:cs="Times New Roman"/>
            <w:sz w:val="18"/>
            <w:szCs w:val="18"/>
            <w:u w:val="none"/>
          </w:rPr>
          <w:t>http://cie.ed.asu.edu/volume6/number12/</w:t>
        </w:r>
      </w:hyperlink>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(eJournal (from internet))</w:t>
      </w:r>
    </w:p>
    <w:p w14:paraId="613ACB92"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27A0924E"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56199440" w14:textId="77777777" w:rsidR="00862A74" w:rsidRPr="00862A74"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1" w:history="1">
        <w:r w:rsidRPr="00C4250F">
          <w:rPr>
            <w:rStyle w:val="Hyperlink"/>
            <w:rFonts w:ascii="Times New Roman" w:hAnsi="Times New Roman" w:cs="Times New Roman"/>
            <w:sz w:val="18"/>
            <w:szCs w:val="18"/>
            <w:u w:val="none"/>
          </w:rPr>
          <w:t>http://global.factiva.com</w:t>
        </w:r>
      </w:hyperlink>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2E5933E4" w14:textId="77777777" w:rsidR="00862A74" w:rsidRPr="00862A74" w:rsidRDefault="00C730D3"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2F288719"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40D398AF"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109539CF" w14:textId="77777777" w:rsidR="009D4355"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47D77192"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FC33A7">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6F28" w14:textId="77777777" w:rsidR="00056D14" w:rsidRDefault="00056D14" w:rsidP="0074397A">
      <w:pPr>
        <w:spacing w:after="0" w:line="240" w:lineRule="auto"/>
      </w:pPr>
      <w:r>
        <w:separator/>
      </w:r>
    </w:p>
  </w:endnote>
  <w:endnote w:type="continuationSeparator" w:id="0">
    <w:p w14:paraId="30A1F7AD" w14:textId="77777777" w:rsidR="00056D14" w:rsidRDefault="00056D14"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rPr>
    </w:sdtEndPr>
    <w:sdtContent>
      <w:p w14:paraId="5E3D760E" w14:textId="68E47888" w:rsidR="00E36E97" w:rsidRPr="00701359" w:rsidRDefault="00E36E97" w:rsidP="00701359">
        <w:pPr>
          <w:pStyle w:val="Footer"/>
          <w:jc w:val="right"/>
          <w:rPr>
            <w:rFonts w:ascii="Times New Roman" w:hAnsi="Times New Roman" w:cs="Times New Roman"/>
          </w:rPr>
        </w:pPr>
        <w:r w:rsidRPr="009C0450">
          <w:rPr>
            <w:rFonts w:ascii="Times New Roman" w:hAnsi="Times New Roman" w:cs="Times New Roman"/>
            <w:sz w:val="18"/>
            <w:szCs w:val="18"/>
          </w:rPr>
          <w:fldChar w:fldCharType="begin"/>
        </w:r>
        <w:r w:rsidRPr="009C0450">
          <w:rPr>
            <w:rFonts w:ascii="Times New Roman" w:hAnsi="Times New Roman" w:cs="Times New Roman"/>
            <w:sz w:val="18"/>
            <w:szCs w:val="18"/>
          </w:rPr>
          <w:instrText xml:space="preserve"> PAGE   \* MERGEFORMAT </w:instrText>
        </w:r>
        <w:r w:rsidRPr="009C0450">
          <w:rPr>
            <w:rFonts w:ascii="Times New Roman" w:hAnsi="Times New Roman" w:cs="Times New Roman"/>
            <w:sz w:val="18"/>
            <w:szCs w:val="18"/>
          </w:rPr>
          <w:fldChar w:fldCharType="separate"/>
        </w:r>
        <w:r w:rsidR="004D4E83" w:rsidRPr="009C0450">
          <w:rPr>
            <w:rFonts w:ascii="Times New Roman" w:hAnsi="Times New Roman" w:cs="Times New Roman"/>
            <w:noProof/>
            <w:sz w:val="18"/>
            <w:szCs w:val="18"/>
          </w:rPr>
          <w:t>2</w:t>
        </w:r>
        <w:r w:rsidRPr="009C0450">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6D1B" w14:textId="07A5410E" w:rsidR="00E36E97" w:rsidRPr="00E36E97" w:rsidRDefault="00E36E97" w:rsidP="00416A08">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Attribution-NonCommercial-NoDerivatives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32E4" w14:textId="77777777" w:rsidR="00056D14" w:rsidRDefault="00056D14" w:rsidP="0074397A">
      <w:pPr>
        <w:spacing w:after="0" w:line="240" w:lineRule="auto"/>
      </w:pPr>
      <w:r>
        <w:separator/>
      </w:r>
    </w:p>
  </w:footnote>
  <w:footnote w:type="continuationSeparator" w:id="0">
    <w:p w14:paraId="63FCB096" w14:textId="77777777" w:rsidR="00056D14" w:rsidRDefault="00056D14"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CA62" w14:textId="77777777" w:rsidR="0005482F" w:rsidRPr="00E36E97" w:rsidRDefault="0005482F" w:rsidP="0005482F">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lang w:val="en-IN" w:eastAsia="en-IN"/>
        <w14:ligatures w14:val="none"/>
      </w:rPr>
      <mc:AlternateContent>
        <mc:Choice Requires="wps">
          <w:drawing>
            <wp:anchor distT="0" distB="0" distL="114300" distR="114300" simplePos="0" relativeHeight="251659776" behindDoc="0" locked="0" layoutInCell="1" allowOverlap="1" wp14:anchorId="1E10FC60" wp14:editId="0CAEC280">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C1B8F" id="Straight Connector 69642040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Pr="00E36E97">
      <w:rPr>
        <w:rFonts w:ascii="Times New Roman" w:hAnsi="Times New Roman" w:cs="Times New Roman"/>
        <w:i/>
        <w:iCs/>
        <w:color w:val="002060"/>
        <w:sz w:val="18"/>
        <w:szCs w:val="18"/>
      </w:rPr>
      <w:t>Title of the paper</w:t>
    </w:r>
  </w:p>
  <w:p w14:paraId="116290A2" w14:textId="0A5A7CC2" w:rsidR="0074397A" w:rsidRPr="00E36E97" w:rsidRDefault="0074397A" w:rsidP="0005482F">
    <w:pPr>
      <w:pStyle w:val="Header"/>
      <w:jc w:val="right"/>
      <w:rPr>
        <w:rFonts w:ascii="Times New Roman" w:hAnsi="Times New Roman" w:cs="Times New Roman"/>
        <w:i/>
        <w:iCs/>
        <w:color w:val="00206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9F4C" w14:textId="25EF3319" w:rsidR="00FC33A7" w:rsidRPr="009144DA" w:rsidRDefault="00FC33A7" w:rsidP="00F65F07">
    <w:pPr>
      <w:pStyle w:val="Header"/>
      <w:rPr>
        <w:rFonts w:ascii="Times New Roman" w:hAnsi="Times New Roman" w:cs="Times New Roman"/>
        <w:sz w:val="18"/>
      </w:rPr>
    </w:pPr>
    <w:r>
      <w:rPr>
        <w:rFonts w:ascii="Times New Roman" w:hAnsi="Times New Roman" w:cs="Times New Roman"/>
        <w:b/>
        <w:noProof/>
        <w:sz w:val="18"/>
        <w:lang w:val="en-IN" w:eastAsia="en-IN"/>
        <w14:ligatures w14:val="none"/>
      </w:rPr>
      <w:drawing>
        <wp:anchor distT="0" distB="0" distL="114300" distR="114300" simplePos="0" relativeHeight="251655680" behindDoc="0" locked="0" layoutInCell="1" allowOverlap="1" wp14:anchorId="5EB23F30" wp14:editId="772F098C">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F65F07" w:rsidRPr="00F65F07">
      <w:rPr>
        <w:rFonts w:ascii="Times New Roman" w:hAnsi="Times New Roman" w:cs="Times New Roman"/>
        <w:sz w:val="18"/>
      </w:rPr>
      <w:t>International Journal of Humanities, Social Sciences and Multidisciplinary Studies</w:t>
    </w:r>
    <w:r>
      <w:rPr>
        <w:rFonts w:ascii="Times New Roman" w:hAnsi="Times New Roman" w:cs="Times New Roman"/>
        <w:sz w:val="18"/>
      </w:rPr>
      <w:tab/>
      <w:t xml:space="preserve">       </w:t>
    </w:r>
  </w:p>
  <w:p w14:paraId="4F1ED284" w14:textId="77777777" w:rsidR="00FC33A7" w:rsidRDefault="00FC33A7" w:rsidP="00FC33A7">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ISSN: XXXX-XXXX | Volume 1 Issue 1 2025</w:t>
    </w:r>
    <w:r>
      <w:rPr>
        <w:rFonts w:ascii="Times New Roman" w:hAnsi="Times New Roman" w:cs="Times New Roman"/>
        <w:sz w:val="18"/>
      </w:rPr>
      <w:tab/>
    </w:r>
  </w:p>
  <w:p w14:paraId="6009272A" w14:textId="0E09824A" w:rsidR="0074397A" w:rsidRPr="00FC33A7" w:rsidRDefault="00FC33A7" w:rsidP="00FC33A7">
    <w:pPr>
      <w:pStyle w:val="Header"/>
      <w:rPr>
        <w:rFonts w:ascii="Times New Roman" w:hAnsi="Times New Roman" w:cs="Times New Roman"/>
        <w:sz w:val="18"/>
      </w:rPr>
    </w:pPr>
    <w:r w:rsidRPr="00C90850">
      <w:rPr>
        <w:rFonts w:ascii="Times New Roman" w:hAnsi="Times New Roman" w:cs="Times New Roman"/>
        <w:sz w:val="18"/>
      </w:rPr>
      <w:t>DOI:</w:t>
    </w:r>
    <w:r w:rsidRPr="001C2A11">
      <w:rPr>
        <w:rFonts w:ascii="Times New Roman" w:hAnsi="Times New Roman" w:cs="Times New Roman"/>
        <w:sz w:val="18"/>
      </w:rPr>
      <w:t xml:space="preserve"> </w:t>
    </w:r>
    <w:hyperlink r:id="rId3" w:history="1">
      <w:r w:rsidR="00CC439C" w:rsidRPr="00CC439C">
        <w:rPr>
          <w:rStyle w:val="Hyperlink"/>
          <w:rFonts w:ascii="Times New Roman" w:hAnsi="Times New Roman" w:cs="Times New Roman"/>
          <w:sz w:val="18"/>
          <w:szCs w:val="18"/>
          <w:u w:val="none"/>
        </w:rPr>
        <w:t>https://doi.org/XX.XXXXX/XXXXXXXX/IJHSSMS-VXIXPXXX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6397224">
    <w:abstractNumId w:val="3"/>
  </w:num>
  <w:num w:numId="2" w16cid:durableId="2114351321">
    <w:abstractNumId w:val="0"/>
  </w:num>
  <w:num w:numId="3" w16cid:durableId="2113815078">
    <w:abstractNumId w:val="7"/>
  </w:num>
  <w:num w:numId="4" w16cid:durableId="1921719349">
    <w:abstractNumId w:val="1"/>
  </w:num>
  <w:num w:numId="5" w16cid:durableId="1349603046">
    <w:abstractNumId w:val="4"/>
  </w:num>
  <w:num w:numId="6" w16cid:durableId="324282006">
    <w:abstractNumId w:val="2"/>
  </w:num>
  <w:num w:numId="7" w16cid:durableId="2106999903">
    <w:abstractNumId w:val="5"/>
  </w:num>
  <w:num w:numId="8" w16cid:durableId="867723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5482F"/>
    <w:rsid w:val="00056D14"/>
    <w:rsid w:val="000C527B"/>
    <w:rsid w:val="000D7D28"/>
    <w:rsid w:val="000E099B"/>
    <w:rsid w:val="000F3CDA"/>
    <w:rsid w:val="00202D79"/>
    <w:rsid w:val="00221103"/>
    <w:rsid w:val="00256A51"/>
    <w:rsid w:val="002E19AD"/>
    <w:rsid w:val="00372874"/>
    <w:rsid w:val="00403B42"/>
    <w:rsid w:val="00416A08"/>
    <w:rsid w:val="00437CE0"/>
    <w:rsid w:val="00446785"/>
    <w:rsid w:val="004568CD"/>
    <w:rsid w:val="00462A39"/>
    <w:rsid w:val="004800AE"/>
    <w:rsid w:val="00492E91"/>
    <w:rsid w:val="004D4E83"/>
    <w:rsid w:val="004E3117"/>
    <w:rsid w:val="00510676"/>
    <w:rsid w:val="00561C38"/>
    <w:rsid w:val="005E01A1"/>
    <w:rsid w:val="006061C6"/>
    <w:rsid w:val="00626124"/>
    <w:rsid w:val="006479C1"/>
    <w:rsid w:val="00661C0F"/>
    <w:rsid w:val="00680E91"/>
    <w:rsid w:val="006A0B9E"/>
    <w:rsid w:val="006B3788"/>
    <w:rsid w:val="006E3728"/>
    <w:rsid w:val="006F4371"/>
    <w:rsid w:val="00701359"/>
    <w:rsid w:val="00710067"/>
    <w:rsid w:val="007276C0"/>
    <w:rsid w:val="0074397A"/>
    <w:rsid w:val="00765B3F"/>
    <w:rsid w:val="00791471"/>
    <w:rsid w:val="007A0349"/>
    <w:rsid w:val="007B0503"/>
    <w:rsid w:val="008316EC"/>
    <w:rsid w:val="00862A74"/>
    <w:rsid w:val="00864B2E"/>
    <w:rsid w:val="00893FB5"/>
    <w:rsid w:val="008A2443"/>
    <w:rsid w:val="008B6368"/>
    <w:rsid w:val="008C3045"/>
    <w:rsid w:val="008C4C6A"/>
    <w:rsid w:val="008C7533"/>
    <w:rsid w:val="00904EDD"/>
    <w:rsid w:val="009A47CA"/>
    <w:rsid w:val="009C0450"/>
    <w:rsid w:val="009C6389"/>
    <w:rsid w:val="009D3A32"/>
    <w:rsid w:val="009D4355"/>
    <w:rsid w:val="00A83A96"/>
    <w:rsid w:val="00AB28F1"/>
    <w:rsid w:val="00AB4DC9"/>
    <w:rsid w:val="00AD7AF4"/>
    <w:rsid w:val="00AF0576"/>
    <w:rsid w:val="00B762B0"/>
    <w:rsid w:val="00B831B0"/>
    <w:rsid w:val="00C3244D"/>
    <w:rsid w:val="00C4250F"/>
    <w:rsid w:val="00C730D3"/>
    <w:rsid w:val="00C73119"/>
    <w:rsid w:val="00CC1C6B"/>
    <w:rsid w:val="00CC439C"/>
    <w:rsid w:val="00CD50FA"/>
    <w:rsid w:val="00D3041E"/>
    <w:rsid w:val="00D50497"/>
    <w:rsid w:val="00DB39AF"/>
    <w:rsid w:val="00DD0FCF"/>
    <w:rsid w:val="00DE2F88"/>
    <w:rsid w:val="00E36E97"/>
    <w:rsid w:val="00E8273D"/>
    <w:rsid w:val="00F359E4"/>
    <w:rsid w:val="00F65F07"/>
    <w:rsid w:val="00FB5664"/>
    <w:rsid w:val="00FC33A7"/>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2DE2"/>
  <w15:docId w15:val="{064D73E5-B34A-4F2A-A6C5-ABC9835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styleId="UnresolvedMention">
    <w:name w:val="Unresolved Mention"/>
    <w:basedOn w:val="DefaultParagraphFont"/>
    <w:uiPriority w:val="99"/>
    <w:semiHidden/>
    <w:unhideWhenUsed/>
    <w:rsid w:val="00F3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HSSMS-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28</cp:revision>
  <dcterms:created xsi:type="dcterms:W3CDTF">2025-04-12T12:33:00Z</dcterms:created>
  <dcterms:modified xsi:type="dcterms:W3CDTF">2025-09-03T04:24:00Z</dcterms:modified>
</cp:coreProperties>
</file>